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4735"/>
        <w:gridCol w:w="1700"/>
        <w:gridCol w:w="1150"/>
        <w:gridCol w:w="5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4580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黑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宋体" w:eastAsia="方正小标宋_GBK"/>
                <w:sz w:val="44"/>
                <w:szCs w:val="44"/>
                <w:lang w:val="en-US" w:eastAsia="zh-CN"/>
              </w:rPr>
              <w:t>全省园林绿化行业管理人员业务培训班课程安排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12月18日上午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8:00-8:20之前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会务组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协会秘书处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12月18日上午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园林养护管理与全国园林绿化养护概算定额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8:30-12:00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姚士才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国务院特贴修剪专家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城市园林绿化园林养护管理专家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12月18日下午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园林绿化工程招标投标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黄富国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太原市招标办副主任、高级经济师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长期从事建设工程招标投标管理工作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12月18日下午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山西省园林绿化工程预算定额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16:30-18:10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山西省工程建设标准定额站工程师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参与山西省工程建设标准定额参与编写工作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12月19日上午</w:t>
            </w:r>
          </w:p>
        </w:tc>
        <w:tc>
          <w:tcPr>
            <w:tcW w:w="4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园林绿化项目与施工管理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8:30-12:00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强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棕榈教育CEO，熟知园林企业全流程工作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历经园林企业各个阶段发展过程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12月19日下午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园林绿化植物病虫害防治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太原市园林植物保护站站长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长期从事园林植物保护工作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12月19日下午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园林绿化法律法规与相关政策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16:30-18:10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李国红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山西住房城乡建设厅调研员、公职律师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12月20日上午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园林工程规划设计与海绵城市技术应用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8:30-10:20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李喜民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山西省城乡规划设计研究院副总工程师、教授级高级规划师，长期从事风景园林规划设计工作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12月20日上午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地被植物应用及节日花卉摆放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齐桂萍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太原市园林局原副调研员兼公园处处长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住房和城乡建设部专家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长期从事城市园林绿化管理工作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12月20日下午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分享园林绿化企业经营管理经验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14:00-16:30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戚海峰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中国风景园林专家库专家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威海园林建设集团董事长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46A89"/>
    <w:rsid w:val="7A3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2018-11-29T03:10:00Z</dcterms:created>
  <dc:creator>王璠</dc:creator>
  <cp:lastModifiedBy>王璠</cp:lastModifiedBy>
  <dcterms:modified xsi:type="dcterms:W3CDTF">2018-11-29T03:12:16Z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